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7D0D91">
        <w:trPr>
          <w:trHeight w:val="851"/>
        </w:trPr>
        <w:tc>
          <w:tcPr>
            <w:tcW w:w="1259" w:type="dxa"/>
            <w:tcBorders>
              <w:top w:val="nil"/>
              <w:left w:val="nil"/>
              <w:bottom w:val="single" w:sz="4" w:space="0" w:color="auto"/>
              <w:right w:val="nil"/>
            </w:tcBorders>
          </w:tcPr>
          <w:p w:rsidR="00446DE4" w:rsidRPr="007D0D91" w:rsidRDefault="00446DE4" w:rsidP="00F225CB">
            <w:pPr>
              <w:tabs>
                <w:tab w:val="right" w:pos="850"/>
                <w:tab w:val="left" w:pos="1134"/>
                <w:tab w:val="right" w:leader="dot" w:pos="8504"/>
              </w:tabs>
              <w:spacing w:line="20" w:lineRule="exact"/>
              <w:rPr>
                <w:sz w:val="2"/>
              </w:rPr>
            </w:pPr>
          </w:p>
          <w:p w:rsidR="00F225CB" w:rsidRPr="007D0D91"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7D0D91" w:rsidRDefault="00B3317B" w:rsidP="0022130F">
            <w:pPr>
              <w:spacing w:after="80" w:line="300" w:lineRule="exact"/>
              <w:rPr>
                <w:sz w:val="28"/>
                <w:szCs w:val="28"/>
              </w:rPr>
            </w:pPr>
            <w:r w:rsidRPr="007D0D91">
              <w:rPr>
                <w:sz w:val="28"/>
                <w:szCs w:val="28"/>
              </w:rPr>
              <w:t>United Nations</w:t>
            </w:r>
          </w:p>
        </w:tc>
        <w:tc>
          <w:tcPr>
            <w:tcW w:w="6144" w:type="dxa"/>
            <w:gridSpan w:val="2"/>
            <w:tcBorders>
              <w:top w:val="nil"/>
              <w:left w:val="nil"/>
              <w:bottom w:val="single" w:sz="4" w:space="0" w:color="auto"/>
              <w:right w:val="nil"/>
            </w:tcBorders>
            <w:vAlign w:val="bottom"/>
          </w:tcPr>
          <w:p w:rsidR="00446DE4" w:rsidRPr="007D0D91" w:rsidRDefault="00EE2A77" w:rsidP="006541AC">
            <w:pPr>
              <w:jc w:val="right"/>
            </w:pPr>
            <w:r w:rsidRPr="007D0D91">
              <w:rPr>
                <w:sz w:val="40"/>
              </w:rPr>
              <w:t>A</w:t>
            </w:r>
            <w:r w:rsidRPr="007D0D91">
              <w:t>/HRC/</w:t>
            </w:r>
            <w:r w:rsidR="00944104" w:rsidRPr="007D0D91">
              <w:t>3</w:t>
            </w:r>
            <w:r w:rsidR="007C5E9C" w:rsidRPr="007D0D91">
              <w:t>2</w:t>
            </w:r>
            <w:r w:rsidRPr="007D0D91">
              <w:t>/L</w:t>
            </w:r>
            <w:r w:rsidR="0036088C" w:rsidRPr="007D0D91">
              <w:t>.</w:t>
            </w:r>
            <w:r w:rsidR="006541AC" w:rsidRPr="007D0D91">
              <w:t>2</w:t>
            </w:r>
          </w:p>
        </w:tc>
      </w:tr>
      <w:tr w:rsidR="003107FA" w:rsidRPr="007D0D91">
        <w:trPr>
          <w:trHeight w:val="2835"/>
        </w:trPr>
        <w:tc>
          <w:tcPr>
            <w:tcW w:w="1259" w:type="dxa"/>
            <w:tcBorders>
              <w:top w:val="single" w:sz="4" w:space="0" w:color="auto"/>
              <w:left w:val="nil"/>
              <w:bottom w:val="single" w:sz="12" w:space="0" w:color="auto"/>
              <w:right w:val="nil"/>
            </w:tcBorders>
          </w:tcPr>
          <w:p w:rsidR="003107FA" w:rsidRPr="007D0D91" w:rsidRDefault="004939B3" w:rsidP="00956D9B">
            <w:pPr>
              <w:spacing w:before="120"/>
              <w:jc w:val="center"/>
            </w:pPr>
            <w:r w:rsidRPr="007D0D91">
              <w:rPr>
                <w:noProof/>
                <w:lang w:val="en-US"/>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D0D91" w:rsidRDefault="00B3317B" w:rsidP="00EF5BDB">
            <w:pPr>
              <w:spacing w:before="120" w:line="420" w:lineRule="exact"/>
              <w:rPr>
                <w:b/>
                <w:sz w:val="40"/>
                <w:szCs w:val="40"/>
              </w:rPr>
            </w:pPr>
            <w:r w:rsidRPr="007D0D91">
              <w:rPr>
                <w:b/>
                <w:sz w:val="40"/>
                <w:szCs w:val="40"/>
              </w:rPr>
              <w:t>General Assembly</w:t>
            </w:r>
          </w:p>
        </w:tc>
        <w:tc>
          <w:tcPr>
            <w:tcW w:w="2930" w:type="dxa"/>
            <w:tcBorders>
              <w:top w:val="single" w:sz="4" w:space="0" w:color="auto"/>
              <w:left w:val="nil"/>
              <w:bottom w:val="single" w:sz="12" w:space="0" w:color="auto"/>
              <w:right w:val="nil"/>
            </w:tcBorders>
          </w:tcPr>
          <w:p w:rsidR="00EE2A77" w:rsidRPr="007D0D91" w:rsidRDefault="00EE2A77" w:rsidP="00EE2A77">
            <w:pPr>
              <w:spacing w:before="240" w:line="240" w:lineRule="exact"/>
            </w:pPr>
            <w:r w:rsidRPr="007D0D91">
              <w:t>Distr.: Limited</w:t>
            </w:r>
          </w:p>
          <w:p w:rsidR="00EE2A77" w:rsidRPr="007D0D91" w:rsidRDefault="00822A38" w:rsidP="00EE2A77">
            <w:pPr>
              <w:spacing w:line="240" w:lineRule="exact"/>
            </w:pPr>
            <w:r>
              <w:t>24</w:t>
            </w:r>
            <w:r w:rsidR="006541AC" w:rsidRPr="007D0D91">
              <w:t xml:space="preserve"> </w:t>
            </w:r>
            <w:r w:rsidR="007C5E9C" w:rsidRPr="007D0D91">
              <w:t>June</w:t>
            </w:r>
            <w:r w:rsidR="00D42B42" w:rsidRPr="007D0D91">
              <w:t xml:space="preserve"> 2016</w:t>
            </w:r>
          </w:p>
          <w:p w:rsidR="006D5F84" w:rsidRPr="007D0D91" w:rsidRDefault="006D5F84" w:rsidP="00EE2A77">
            <w:pPr>
              <w:spacing w:line="240" w:lineRule="exact"/>
            </w:pPr>
          </w:p>
          <w:p w:rsidR="003107FA" w:rsidRPr="007D0D91" w:rsidRDefault="00EE2A77" w:rsidP="00EE2A77">
            <w:pPr>
              <w:spacing w:line="240" w:lineRule="exact"/>
            </w:pPr>
            <w:r w:rsidRPr="007D0D91">
              <w:t>Original: English</w:t>
            </w:r>
          </w:p>
        </w:tc>
      </w:tr>
    </w:tbl>
    <w:p w:rsidR="00EE2A77" w:rsidRPr="007D0D91" w:rsidRDefault="00EE2A77" w:rsidP="00EE2A77">
      <w:pPr>
        <w:spacing w:before="120"/>
        <w:rPr>
          <w:b/>
          <w:sz w:val="24"/>
          <w:szCs w:val="24"/>
        </w:rPr>
      </w:pPr>
      <w:r w:rsidRPr="007D0D91">
        <w:rPr>
          <w:b/>
          <w:sz w:val="24"/>
          <w:szCs w:val="24"/>
        </w:rPr>
        <w:t>Human Rights Council</w:t>
      </w:r>
    </w:p>
    <w:p w:rsidR="00EE2A77" w:rsidRPr="007D0D91" w:rsidRDefault="00944104" w:rsidP="00EE2A77">
      <w:pPr>
        <w:rPr>
          <w:b/>
        </w:rPr>
      </w:pPr>
      <w:r w:rsidRPr="007D0D91">
        <w:rPr>
          <w:b/>
        </w:rPr>
        <w:t>Thirt</w:t>
      </w:r>
      <w:r w:rsidR="00D42B42" w:rsidRPr="007D0D91">
        <w:rPr>
          <w:b/>
        </w:rPr>
        <w:t>y-</w:t>
      </w:r>
      <w:r w:rsidR="007C5E9C" w:rsidRPr="007D0D91">
        <w:rPr>
          <w:b/>
        </w:rPr>
        <w:t>second</w:t>
      </w:r>
      <w:r w:rsidR="00674C17" w:rsidRPr="007D0D91">
        <w:rPr>
          <w:b/>
        </w:rPr>
        <w:t xml:space="preserve"> </w:t>
      </w:r>
      <w:r w:rsidR="00EE2A77" w:rsidRPr="007D0D91">
        <w:rPr>
          <w:b/>
        </w:rPr>
        <w:t>session</w:t>
      </w:r>
    </w:p>
    <w:p w:rsidR="00EE2A77" w:rsidRPr="007D0D91" w:rsidRDefault="00EE2A77" w:rsidP="00EE2A77">
      <w:r w:rsidRPr="007D0D91">
        <w:t>Agenda item 3</w:t>
      </w:r>
    </w:p>
    <w:p w:rsidR="002F006E" w:rsidRPr="007D0D91" w:rsidRDefault="00EE2A77" w:rsidP="002F006E">
      <w:pPr>
        <w:rPr>
          <w:b/>
        </w:rPr>
      </w:pPr>
      <w:r w:rsidRPr="007D0D91">
        <w:rPr>
          <w:b/>
        </w:rPr>
        <w:t>Promotion and</w:t>
      </w:r>
      <w:r w:rsidR="007B208E" w:rsidRPr="007D0D91">
        <w:rPr>
          <w:b/>
        </w:rPr>
        <w:t xml:space="preserve"> protection of all human rights, civil</w:t>
      </w:r>
      <w:r w:rsidR="00BE00DE" w:rsidRPr="007D0D91">
        <w:rPr>
          <w:b/>
        </w:rPr>
        <w:t>,</w:t>
      </w:r>
      <w:r w:rsidRPr="007D0D91">
        <w:rPr>
          <w:b/>
        </w:rPr>
        <w:br/>
        <w:t xml:space="preserve">political, economic, </w:t>
      </w:r>
      <w:r w:rsidR="0054626B" w:rsidRPr="007D0D91">
        <w:rPr>
          <w:b/>
        </w:rPr>
        <w:t>social and cultural rights,</w:t>
      </w:r>
      <w:r w:rsidRPr="007D0D91">
        <w:rPr>
          <w:b/>
        </w:rPr>
        <w:br/>
        <w:t>including the right to development</w:t>
      </w:r>
    </w:p>
    <w:p w:rsidR="002F006E" w:rsidRPr="00801509" w:rsidRDefault="002F006E" w:rsidP="002F006E">
      <w:pPr>
        <w:pStyle w:val="H23G"/>
      </w:pPr>
      <w:r w:rsidRPr="007D0D91">
        <w:tab/>
      </w:r>
      <w:r w:rsidRPr="007D0D91">
        <w:tab/>
      </w:r>
      <w:r w:rsidR="00227EC5">
        <w:t xml:space="preserve">Albania, </w:t>
      </w:r>
      <w:r w:rsidR="00CE7C72" w:rsidRPr="00DB5CDA">
        <w:t xml:space="preserve">Angola,* </w:t>
      </w:r>
      <w:r w:rsidR="00515DA9" w:rsidRPr="00801509">
        <w:t>Argentina,</w:t>
      </w:r>
      <w:r w:rsidR="00515DA9" w:rsidRPr="00801509">
        <w:rPr>
          <w:b w:val="0"/>
          <w:sz w:val="18"/>
          <w:szCs w:val="18"/>
        </w:rPr>
        <w:t>*</w:t>
      </w:r>
      <w:r w:rsidR="00515DA9" w:rsidRPr="00801509">
        <w:t xml:space="preserve"> </w:t>
      </w:r>
      <w:r w:rsidR="006F2D6F" w:rsidRPr="00801509">
        <w:t xml:space="preserve">Australia,* Austria,* </w:t>
      </w:r>
      <w:r w:rsidR="00DB5CDA" w:rsidRPr="00801509">
        <w:t xml:space="preserve">Belgium, </w:t>
      </w:r>
      <w:r w:rsidR="00972353">
        <w:t xml:space="preserve">Benin,* </w:t>
      </w:r>
      <w:r w:rsidR="00542EBF">
        <w:t>Bolivia (</w:t>
      </w:r>
      <w:proofErr w:type="spellStart"/>
      <w:r w:rsidR="00542EBF">
        <w:t>Plurinational</w:t>
      </w:r>
      <w:proofErr w:type="spellEnd"/>
      <w:r w:rsidR="00542EBF">
        <w:t xml:space="preserve"> State of), </w:t>
      </w:r>
      <w:r w:rsidR="00515DA9" w:rsidRPr="00801509">
        <w:t>Brazil,</w:t>
      </w:r>
      <w:r w:rsidR="003C1687" w:rsidRPr="00801509">
        <w:rPr>
          <w:b w:val="0"/>
          <w:sz w:val="18"/>
          <w:szCs w:val="18"/>
        </w:rPr>
        <w:t>*</w:t>
      </w:r>
      <w:r w:rsidR="00515DA9" w:rsidRPr="00801509">
        <w:t xml:space="preserve"> </w:t>
      </w:r>
      <w:r w:rsidR="00BF57ED">
        <w:t xml:space="preserve">Bulgaria,* </w:t>
      </w:r>
      <w:r w:rsidR="00032651">
        <w:t xml:space="preserve">Canada,* </w:t>
      </w:r>
      <w:r w:rsidR="00515DA9" w:rsidRPr="00801509">
        <w:t>Chile,</w:t>
      </w:r>
      <w:r w:rsidR="00515DA9" w:rsidRPr="00801509">
        <w:rPr>
          <w:rStyle w:val="FootnoteReference"/>
          <w:b w:val="0"/>
          <w:szCs w:val="18"/>
          <w:vertAlign w:val="baseline"/>
        </w:rPr>
        <w:footnoteReference w:customMarkFollows="1" w:id="2"/>
        <w:t>*</w:t>
      </w:r>
      <w:r w:rsidR="00515DA9" w:rsidRPr="00801509">
        <w:rPr>
          <w:rStyle w:val="FootnoteReference"/>
          <w:sz w:val="20"/>
          <w:vertAlign w:val="baseline"/>
        </w:rPr>
        <w:t xml:space="preserve"> </w:t>
      </w:r>
      <w:r w:rsidR="00515DA9" w:rsidRPr="00801509">
        <w:t>Colombia,</w:t>
      </w:r>
      <w:r w:rsidR="00515DA9" w:rsidRPr="00801509">
        <w:rPr>
          <w:b w:val="0"/>
          <w:sz w:val="18"/>
          <w:szCs w:val="18"/>
        </w:rPr>
        <w:t>*</w:t>
      </w:r>
      <w:r w:rsidR="00515DA9" w:rsidRPr="00801509">
        <w:t xml:space="preserve"> </w:t>
      </w:r>
      <w:r w:rsidR="00F14AC7" w:rsidRPr="00801509">
        <w:t xml:space="preserve">Costa Rica,* </w:t>
      </w:r>
      <w:r w:rsidR="00227EC5">
        <w:t xml:space="preserve">Croatia,* </w:t>
      </w:r>
      <w:r w:rsidR="0004407D">
        <w:t xml:space="preserve">Cyprus,* </w:t>
      </w:r>
      <w:r w:rsidR="008534BD">
        <w:t xml:space="preserve">Czech Republic,* </w:t>
      </w:r>
      <w:r w:rsidR="00542EBF">
        <w:t xml:space="preserve">Denmark,* </w:t>
      </w:r>
      <w:r w:rsidR="00A56133">
        <w:t xml:space="preserve">El Salvador, </w:t>
      </w:r>
      <w:r w:rsidR="00467024">
        <w:t xml:space="preserve">Finland,* </w:t>
      </w:r>
      <w:r w:rsidR="00CC49C0" w:rsidRPr="00801509">
        <w:t xml:space="preserve">France, </w:t>
      </w:r>
      <w:r w:rsidR="00F3483E">
        <w:t xml:space="preserve">Germany, </w:t>
      </w:r>
      <w:r w:rsidR="004C357E">
        <w:t xml:space="preserve">Greece,* </w:t>
      </w:r>
      <w:r w:rsidR="00DB5CDA">
        <w:t>Honduras,</w:t>
      </w:r>
      <w:r w:rsidR="0097325F">
        <w:t>*</w:t>
      </w:r>
      <w:r w:rsidR="00283320">
        <w:t xml:space="preserve"> Iceland,* </w:t>
      </w:r>
      <w:r w:rsidR="006F2D6F" w:rsidRPr="00801509">
        <w:t xml:space="preserve">Ireland,* </w:t>
      </w:r>
      <w:r w:rsidR="00857BD4">
        <w:t xml:space="preserve">Israel,* </w:t>
      </w:r>
      <w:r w:rsidR="00CC1ED7">
        <w:t xml:space="preserve">Liechtenstein,* </w:t>
      </w:r>
      <w:r w:rsidR="00E005A2">
        <w:t xml:space="preserve">Luxembourg,* </w:t>
      </w:r>
      <w:r w:rsidR="00BF57ED">
        <w:t xml:space="preserve">Malta,* </w:t>
      </w:r>
      <w:r w:rsidR="00515DA9" w:rsidRPr="00801509">
        <w:t xml:space="preserve">Mexico, </w:t>
      </w:r>
      <w:r w:rsidR="00BD4BFD">
        <w:t xml:space="preserve">Montenegro,* </w:t>
      </w:r>
      <w:r w:rsidR="001C0568">
        <w:t xml:space="preserve">Netherlands, </w:t>
      </w:r>
      <w:r w:rsidR="00CC49C0" w:rsidRPr="00801509">
        <w:t xml:space="preserve">New Zealand,* </w:t>
      </w:r>
      <w:r w:rsidR="00F3483E">
        <w:t xml:space="preserve">Norway,* </w:t>
      </w:r>
      <w:r w:rsidR="003113C0">
        <w:t xml:space="preserve">Paraguay, </w:t>
      </w:r>
      <w:r w:rsidR="00542EBF">
        <w:t xml:space="preserve">Portugal, </w:t>
      </w:r>
      <w:r w:rsidR="00951324">
        <w:t xml:space="preserve">Slovenia, </w:t>
      </w:r>
      <w:r w:rsidR="006F2D6F" w:rsidRPr="00801509">
        <w:t xml:space="preserve">Spain,* </w:t>
      </w:r>
      <w:r w:rsidR="00EF66FE">
        <w:t xml:space="preserve">Sweden,* </w:t>
      </w:r>
      <w:r w:rsidR="00C50B24" w:rsidRPr="00801509">
        <w:t xml:space="preserve">Ukraine,* </w:t>
      </w:r>
      <w:r w:rsidR="00BD4BFD">
        <w:t xml:space="preserve">United States of America,* </w:t>
      </w:r>
      <w:r w:rsidR="00515DA9" w:rsidRPr="00801509">
        <w:rPr>
          <w:rStyle w:val="FootnoteReference"/>
          <w:sz w:val="20"/>
          <w:vertAlign w:val="baseline"/>
        </w:rPr>
        <w:t>Uruguay:</w:t>
      </w:r>
      <w:r w:rsidR="00515DA9" w:rsidRPr="00801509">
        <w:rPr>
          <w:rStyle w:val="FootnoteReference"/>
          <w:b w:val="0"/>
          <w:szCs w:val="18"/>
          <w:vertAlign w:val="baseline"/>
        </w:rPr>
        <w:t>*</w:t>
      </w:r>
      <w:r w:rsidRPr="00801509">
        <w:t xml:space="preserve"> draft resolution</w:t>
      </w:r>
    </w:p>
    <w:p w:rsidR="002F006E" w:rsidRPr="007D0D91" w:rsidRDefault="00944104" w:rsidP="00944104">
      <w:pPr>
        <w:pStyle w:val="H1G"/>
        <w:tabs>
          <w:tab w:val="clear" w:pos="851"/>
        </w:tabs>
        <w:ind w:left="1843" w:hanging="709"/>
      </w:pPr>
      <w:r w:rsidRPr="007D0D91">
        <w:t>3</w:t>
      </w:r>
      <w:r w:rsidR="007C5E9C" w:rsidRPr="007D0D91">
        <w:t>2</w:t>
      </w:r>
      <w:r w:rsidRPr="007D0D91">
        <w:t>/…</w:t>
      </w:r>
      <w:r w:rsidRPr="007D0D91">
        <w:tab/>
      </w:r>
      <w:r w:rsidR="006541AC" w:rsidRPr="00801509">
        <w:t xml:space="preserve">Protection against violence and discrimination based on </w:t>
      </w:r>
      <w:r w:rsidR="00515DA9" w:rsidRPr="00801509">
        <w:t>sexual o</w:t>
      </w:r>
      <w:r w:rsidR="006541AC" w:rsidRPr="00801509">
        <w:t>rie</w:t>
      </w:r>
      <w:r w:rsidR="00515DA9" w:rsidRPr="00801509">
        <w:t>ntation and gender i</w:t>
      </w:r>
      <w:r w:rsidR="006541AC" w:rsidRPr="00801509">
        <w:t>dentity</w:t>
      </w:r>
    </w:p>
    <w:p w:rsidR="002F006E" w:rsidRPr="007D0D91" w:rsidRDefault="002F006E" w:rsidP="00402A2C">
      <w:pPr>
        <w:pStyle w:val="SingleTxtG"/>
      </w:pPr>
      <w:r w:rsidRPr="007D0D91">
        <w:tab/>
      </w:r>
      <w:r w:rsidRPr="007D0D91">
        <w:rPr>
          <w:i/>
        </w:rPr>
        <w:t>The Human Rights Council</w:t>
      </w:r>
      <w:r w:rsidRPr="007D0D91">
        <w:t>,</w:t>
      </w:r>
    </w:p>
    <w:p w:rsidR="006541AC" w:rsidRPr="007D0D91" w:rsidRDefault="006541AC" w:rsidP="006541AC">
      <w:pPr>
        <w:pStyle w:val="SingleTxtG"/>
      </w:pPr>
      <w:r w:rsidRPr="007D0D91">
        <w:tab/>
      </w:r>
      <w:r w:rsidRPr="007D0D91">
        <w:rPr>
          <w:i/>
        </w:rPr>
        <w:t>Reaffirming</w:t>
      </w:r>
      <w:r w:rsidRPr="007D0D91">
        <w:t xml:space="preserve"> the Universal Declaration of Human Rights,</w:t>
      </w:r>
    </w:p>
    <w:p w:rsidR="006541AC" w:rsidRPr="007D0D91" w:rsidRDefault="006541AC" w:rsidP="006541AC">
      <w:pPr>
        <w:pStyle w:val="SingleTxtG"/>
      </w:pPr>
      <w:r w:rsidRPr="007D0D91">
        <w:tab/>
      </w:r>
      <w:r w:rsidRPr="007D0D91">
        <w:rPr>
          <w:i/>
        </w:rPr>
        <w:t>Recalling</w:t>
      </w:r>
      <w:r w:rsidRPr="007D0D91">
        <w:t xml:space="preserve"> that the Vienna Declaration and Program</w:t>
      </w:r>
      <w:r w:rsidR="007D0D91">
        <w:t>me</w:t>
      </w:r>
      <w:r w:rsidRPr="007D0D91">
        <w:t xml:space="preserve"> of Action affirms that all human rights are universal, indivisible and interdependent and interrelated, that the international community must treat human rights globally in a fair and equal manner, on the same footing, and with the same emphasis, and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rsidR="006541AC" w:rsidRPr="007D0D91" w:rsidRDefault="006541AC" w:rsidP="006541AC">
      <w:pPr>
        <w:pStyle w:val="SingleTxtG"/>
      </w:pPr>
      <w:r w:rsidRPr="007D0D91">
        <w:tab/>
      </w:r>
      <w:r w:rsidRPr="007D0D91">
        <w:rPr>
          <w:i/>
        </w:rPr>
        <w:t>Recalling also</w:t>
      </w:r>
      <w:r w:rsidRPr="007D0D91">
        <w:t xml:space="preserve"> General Assembly resolution 60/251 of 15 March </w:t>
      </w:r>
      <w:smartTag w:uri="urn:schemas-microsoft-com:office:smarttags" w:element="metricconverter">
        <w:smartTagPr>
          <w:attr w:name="ProductID" w:val="2006, in"/>
        </w:smartTagPr>
        <w:r w:rsidRPr="007D0D91">
          <w:t>2006, in</w:t>
        </w:r>
      </w:smartTag>
      <w:r w:rsidRPr="007D0D91">
        <w:t xml:space="preserve"> which the Assembly stated that the Human Rights Council should be responsible for promoting universal respect for the protection of all human rights and fundamental freedoms for all, without distinction of any kind and in a fair and equal manner, </w:t>
      </w:r>
    </w:p>
    <w:p w:rsidR="006541AC" w:rsidRPr="007D0D91" w:rsidRDefault="006541AC" w:rsidP="006541AC">
      <w:pPr>
        <w:pStyle w:val="SingleTxtG"/>
      </w:pPr>
      <w:r w:rsidRPr="007D0D91">
        <w:tab/>
      </w:r>
      <w:r w:rsidRPr="007D0D91">
        <w:rPr>
          <w:i/>
        </w:rPr>
        <w:t>Recalling further</w:t>
      </w:r>
      <w:r w:rsidRPr="007D0D91">
        <w:t xml:space="preserve"> Human Rights Council resolutions 17/19 of 17 June 2011 and 27/32 of 26 September 2014, </w:t>
      </w:r>
    </w:p>
    <w:p w:rsidR="006541AC" w:rsidRPr="007D0D91" w:rsidRDefault="006541AC" w:rsidP="006541AC">
      <w:pPr>
        <w:pStyle w:val="SingleTxtG"/>
      </w:pPr>
      <w:r w:rsidRPr="007D0D91">
        <w:lastRenderedPageBreak/>
        <w:tab/>
        <w:t>1.</w:t>
      </w:r>
      <w:r w:rsidRPr="007D0D91">
        <w:tab/>
      </w:r>
      <w:r w:rsidRPr="007D0D91">
        <w:rPr>
          <w:i/>
        </w:rPr>
        <w:t>Reaffirms</w:t>
      </w:r>
      <w:r w:rsidRPr="007D0D91">
        <w:t xml:space="preserve"> that all human beings are born free and equal in dignity and rights and that everyone is entitled to all the rights and freedoms set forth in the Universal Declaration of Human Rights, without distinction of any kind, such as race, colour, sex, language, religion, political or other opinion, national or social origin, property, birth or other status; </w:t>
      </w:r>
    </w:p>
    <w:p w:rsidR="006541AC" w:rsidRPr="007D0D91" w:rsidRDefault="006541AC" w:rsidP="006541AC">
      <w:pPr>
        <w:pStyle w:val="SingleTxtG"/>
      </w:pPr>
      <w:r w:rsidRPr="007D0D91">
        <w:tab/>
        <w:t>2.</w:t>
      </w:r>
      <w:r w:rsidRPr="007D0D91">
        <w:tab/>
      </w:r>
      <w:r w:rsidRPr="007D0D91">
        <w:rPr>
          <w:i/>
        </w:rPr>
        <w:t>Deplores</w:t>
      </w:r>
      <w:r w:rsidRPr="007D0D91">
        <w:t xml:space="preserve"> acts of violence and discrimination, in all regions of the world, committed against individuals because of their sexual orientation or gender identity; </w:t>
      </w:r>
    </w:p>
    <w:p w:rsidR="006541AC" w:rsidRPr="007D0D91" w:rsidRDefault="006541AC" w:rsidP="006541AC">
      <w:pPr>
        <w:pStyle w:val="SingleTxtG"/>
      </w:pPr>
      <w:r w:rsidRPr="007D0D91">
        <w:tab/>
        <w:t>3.</w:t>
      </w:r>
      <w:r w:rsidRPr="007D0D91">
        <w:tab/>
      </w:r>
      <w:r w:rsidRPr="007D0D91">
        <w:rPr>
          <w:i/>
        </w:rPr>
        <w:t>Decides</w:t>
      </w:r>
      <w:r w:rsidRPr="007D0D91">
        <w:t xml:space="preserve"> to appoint, for a period of three years, an Independent Expert on protection against violence and discrimination based on sexual orientation and gender identity, with the following mandate:</w:t>
      </w:r>
    </w:p>
    <w:p w:rsidR="006541AC" w:rsidRPr="007D0D91" w:rsidRDefault="006541AC" w:rsidP="006541AC">
      <w:pPr>
        <w:pStyle w:val="SingleTxtG"/>
      </w:pPr>
      <w:r w:rsidRPr="007D0D91">
        <w:tab/>
        <w:t>(</w:t>
      </w:r>
      <w:r w:rsidRPr="007D0D91">
        <w:rPr>
          <w:i/>
        </w:rPr>
        <w:t>a</w:t>
      </w:r>
      <w:r w:rsidRPr="007D0D91">
        <w:t>)</w:t>
      </w:r>
      <w:r w:rsidRPr="007D0D91">
        <w:tab/>
        <w:t>To assess the implementation of existing international human rights laws and standards with regard to ways to overcome violence and discrimination against persons on the basis of their sexual orientation or gender identity</w:t>
      </w:r>
      <w:r w:rsidR="007D0D91">
        <w:t>,</w:t>
      </w:r>
      <w:r w:rsidRPr="007D0D91">
        <w:t xml:space="preserve"> while identifying both best practices and gaps; </w:t>
      </w:r>
    </w:p>
    <w:p w:rsidR="006541AC" w:rsidRPr="007D0D91" w:rsidRDefault="006541AC" w:rsidP="006541AC">
      <w:pPr>
        <w:pStyle w:val="SingleTxtG"/>
      </w:pPr>
      <w:r w:rsidRPr="007D0D91">
        <w:tab/>
        <w:t>(</w:t>
      </w:r>
      <w:r w:rsidRPr="007D0D91">
        <w:rPr>
          <w:i/>
        </w:rPr>
        <w:t>b</w:t>
      </w:r>
      <w:r w:rsidRPr="007D0D91">
        <w:t>)</w:t>
      </w:r>
      <w:r w:rsidRPr="007D0D91">
        <w:tab/>
        <w:t>To raise awareness of violence and discrimination against persons on the basis of their sexual orientation or gender identity</w:t>
      </w:r>
      <w:r w:rsidR="007D0D91">
        <w:t>,</w:t>
      </w:r>
      <w:r w:rsidRPr="007D0D91">
        <w:t xml:space="preserve"> and to address the root causes of such violations; </w:t>
      </w:r>
    </w:p>
    <w:p w:rsidR="006541AC" w:rsidRPr="007D0D91" w:rsidRDefault="006541AC" w:rsidP="006541AC">
      <w:pPr>
        <w:pStyle w:val="SingleTxtG"/>
      </w:pPr>
      <w:r w:rsidRPr="007D0D91">
        <w:tab/>
        <w:t>(</w:t>
      </w:r>
      <w:r w:rsidRPr="007D0D91">
        <w:rPr>
          <w:i/>
        </w:rPr>
        <w:t>c</w:t>
      </w:r>
      <w:r w:rsidRPr="007D0D91">
        <w:t>)</w:t>
      </w:r>
      <w:r w:rsidRPr="007D0D91">
        <w:tab/>
        <w:t xml:space="preserve">To engage in dialogue and </w:t>
      </w:r>
      <w:r w:rsidR="007D0D91">
        <w:t xml:space="preserve">to </w:t>
      </w:r>
      <w:r w:rsidRPr="007D0D91">
        <w:t xml:space="preserve">consult with States and other relevant stakeholders, including United Nations agencies, programmes and funds, regional human rights mechanisms, national human rights institutions, civil society organizations and academic institutions; </w:t>
      </w:r>
    </w:p>
    <w:p w:rsidR="006541AC" w:rsidRPr="007D0D91" w:rsidRDefault="006541AC" w:rsidP="006541AC">
      <w:pPr>
        <w:pStyle w:val="SingleTxtG"/>
      </w:pPr>
      <w:r w:rsidRPr="007D0D91">
        <w:tab/>
        <w:t>(</w:t>
      </w:r>
      <w:r w:rsidRPr="007D0D91">
        <w:rPr>
          <w:i/>
        </w:rPr>
        <w:t>d</w:t>
      </w:r>
      <w:r w:rsidRPr="007D0D91">
        <w:t>)</w:t>
      </w:r>
      <w:r w:rsidRPr="007D0D91">
        <w:tab/>
        <w:t xml:space="preserve">To work in cooperation with States in order to foster the implementation of measures that contribute to the protection of all persons against violence and discrimination based on sexual orientation and gender identity; </w:t>
      </w:r>
    </w:p>
    <w:p w:rsidR="006541AC" w:rsidRPr="007D0D91" w:rsidRDefault="006541AC" w:rsidP="006541AC">
      <w:pPr>
        <w:pStyle w:val="SingleTxtG"/>
      </w:pPr>
      <w:r w:rsidRPr="007D0D91">
        <w:tab/>
        <w:t>(</w:t>
      </w:r>
      <w:r w:rsidRPr="007D0D91">
        <w:rPr>
          <w:i/>
        </w:rPr>
        <w:t>e</w:t>
      </w:r>
      <w:r w:rsidRPr="007D0D91">
        <w:t>)</w:t>
      </w:r>
      <w:r w:rsidRPr="007D0D91">
        <w:tab/>
        <w:t xml:space="preserve">To address the multiple, intersecting and aggravated forms of violence and discrimination faced by persons on the basis of their sexual orientation and gender identity; </w:t>
      </w:r>
    </w:p>
    <w:p w:rsidR="006541AC" w:rsidRPr="007D0D91" w:rsidRDefault="006541AC" w:rsidP="006541AC">
      <w:pPr>
        <w:pStyle w:val="SingleTxtG"/>
      </w:pPr>
      <w:r w:rsidRPr="007D0D91">
        <w:tab/>
        <w:t>(</w:t>
      </w:r>
      <w:r w:rsidRPr="007D0D91">
        <w:rPr>
          <w:i/>
        </w:rPr>
        <w:t>f</w:t>
      </w:r>
      <w:r w:rsidR="00515DA9" w:rsidRPr="007D0D91">
        <w:t>)</w:t>
      </w:r>
      <w:r w:rsidR="00515DA9" w:rsidRPr="007D0D91">
        <w:tab/>
      </w:r>
      <w:r w:rsidRPr="007D0D91">
        <w:t xml:space="preserve">To conduct, facilitate and support the provision of advisory services, technical assistance, capacity-building and international cooperation in support of national efforts to combat violence and discrimination against persons on the basis of their sexual orientation or gender identity; </w:t>
      </w:r>
    </w:p>
    <w:p w:rsidR="006541AC" w:rsidRPr="007D0D91" w:rsidRDefault="006541AC" w:rsidP="006541AC">
      <w:pPr>
        <w:pStyle w:val="SingleTxtG"/>
      </w:pPr>
      <w:r w:rsidRPr="007D0D91">
        <w:tab/>
        <w:t>4.</w:t>
      </w:r>
      <w:r w:rsidRPr="007D0D91">
        <w:tab/>
      </w:r>
      <w:r w:rsidRPr="007D0D91">
        <w:rPr>
          <w:i/>
        </w:rPr>
        <w:t>Requests</w:t>
      </w:r>
      <w:r w:rsidRPr="007D0D91">
        <w:t xml:space="preserve"> the Independent Expert to report annually to the Human Rights Council</w:t>
      </w:r>
      <w:r w:rsidR="009475A0">
        <w:t>,</w:t>
      </w:r>
      <w:r w:rsidRPr="007D0D91">
        <w:t xml:space="preserve"> </w:t>
      </w:r>
      <w:r w:rsidR="009475A0" w:rsidRPr="00342ECE">
        <w:t>starting from its thirty-fifth session</w:t>
      </w:r>
      <w:r w:rsidR="009475A0">
        <w:t>,</w:t>
      </w:r>
      <w:r w:rsidR="009475A0" w:rsidRPr="00342ECE">
        <w:t xml:space="preserve"> </w:t>
      </w:r>
      <w:r w:rsidRPr="007D0D91">
        <w:t>and to the General Assembly</w:t>
      </w:r>
      <w:r w:rsidR="009475A0">
        <w:t>, starting from</w:t>
      </w:r>
      <w:r w:rsidR="009475A0" w:rsidRPr="007D0D91" w:rsidDel="009475A0">
        <w:t xml:space="preserve"> </w:t>
      </w:r>
      <w:r w:rsidR="009475A0">
        <w:t>its</w:t>
      </w:r>
      <w:r w:rsidRPr="007D0D91">
        <w:t xml:space="preserve"> sevent</w:t>
      </w:r>
      <w:r w:rsidR="009475A0">
        <w:t>y</w:t>
      </w:r>
      <w:r w:rsidRPr="007D0D91">
        <w:t>-second</w:t>
      </w:r>
      <w:r w:rsidR="009475A0">
        <w:t xml:space="preserve"> session</w:t>
      </w:r>
      <w:r w:rsidRPr="007D0D91">
        <w:t>;</w:t>
      </w:r>
      <w:r w:rsidR="009475A0" w:rsidRPr="007D0D91" w:rsidDel="009475A0">
        <w:t xml:space="preserve"> </w:t>
      </w:r>
    </w:p>
    <w:p w:rsidR="006541AC" w:rsidRPr="007D0D91" w:rsidRDefault="006541AC" w:rsidP="006541AC">
      <w:pPr>
        <w:pStyle w:val="SingleTxtG"/>
      </w:pPr>
      <w:r w:rsidRPr="007D0D91">
        <w:tab/>
        <w:t>5.</w:t>
      </w:r>
      <w:r w:rsidRPr="007D0D91">
        <w:tab/>
      </w:r>
      <w:r w:rsidRPr="007D0D91">
        <w:rPr>
          <w:i/>
        </w:rPr>
        <w:t>Calls upon</w:t>
      </w:r>
      <w:r w:rsidRPr="007D0D91">
        <w:t xml:space="preserve"> all States to cooperate with the Independent Expert in the discharge of the mandate, including by providing all information requested, to give serious consideration to responding favo</w:t>
      </w:r>
      <w:r w:rsidR="009475A0">
        <w:t>u</w:t>
      </w:r>
      <w:r w:rsidRPr="007D0D91">
        <w:t xml:space="preserve">rably to the requests of the Independent Expert to visit their countries and to consider implementing the recommendations made in the mandate holder’s reports; </w:t>
      </w:r>
    </w:p>
    <w:p w:rsidR="006541AC" w:rsidRPr="007D0D91" w:rsidRDefault="006541AC" w:rsidP="006541AC">
      <w:pPr>
        <w:pStyle w:val="SingleTxtG"/>
      </w:pPr>
      <w:r w:rsidRPr="007D0D91">
        <w:tab/>
        <w:t>6.</w:t>
      </w:r>
      <w:r w:rsidRPr="007D0D91">
        <w:tab/>
      </w:r>
      <w:r w:rsidRPr="007D0D91">
        <w:rPr>
          <w:i/>
        </w:rPr>
        <w:t>Encourages</w:t>
      </w:r>
      <w:r w:rsidRPr="007D0D91">
        <w:t xml:space="preserve"> all relevant stakeholders, including United Nations agencies, programmes and funds, regional human rights mechanisms, national human rights institutions, national independent monitoring frameworks, the private sector, donors and development agencies to cooperate fully with the Independent Expert to enable the mandate holder to fulfil his or her mandate;</w:t>
      </w:r>
    </w:p>
    <w:p w:rsidR="006541AC" w:rsidRPr="007D0D91" w:rsidRDefault="006541AC" w:rsidP="006541AC">
      <w:pPr>
        <w:pStyle w:val="SingleTxtG"/>
      </w:pPr>
      <w:r w:rsidRPr="007D0D91">
        <w:tab/>
        <w:t>7.</w:t>
      </w:r>
      <w:r w:rsidRPr="007D0D91">
        <w:tab/>
      </w:r>
      <w:r w:rsidRPr="007D0D91">
        <w:rPr>
          <w:i/>
        </w:rPr>
        <w:t>Requests</w:t>
      </w:r>
      <w:r w:rsidRPr="007D0D91">
        <w:t xml:space="preserve"> the Secretary-General and the United Nations High Commissioner for Human Rights to provide the Independent Expert with all the human, technical and financial resources necessary for the effective fulfilment of his or her mandate; </w:t>
      </w:r>
    </w:p>
    <w:p w:rsidR="006541AC" w:rsidRPr="007D0D91" w:rsidRDefault="006541AC" w:rsidP="006541AC">
      <w:pPr>
        <w:pStyle w:val="SingleTxtG"/>
      </w:pPr>
      <w:r w:rsidRPr="007D0D91">
        <w:tab/>
        <w:t>8.</w:t>
      </w:r>
      <w:r w:rsidRPr="007D0D91">
        <w:tab/>
      </w:r>
      <w:r w:rsidRPr="007D0D91">
        <w:rPr>
          <w:i/>
        </w:rPr>
        <w:t>Decides</w:t>
      </w:r>
      <w:r w:rsidRPr="007D0D91">
        <w:t xml:space="preserve"> to remain seized of this issue.</w:t>
      </w:r>
    </w:p>
    <w:p w:rsidR="002F006E" w:rsidRPr="007D0D91" w:rsidRDefault="003D206B" w:rsidP="003D206B">
      <w:pPr>
        <w:pStyle w:val="SingleTxtG"/>
        <w:spacing w:before="240" w:after="0"/>
        <w:jc w:val="center"/>
        <w:rPr>
          <w:rFonts w:eastAsia="SimSun"/>
          <w:u w:val="single"/>
        </w:rPr>
      </w:pPr>
      <w:r w:rsidRPr="007D0D91">
        <w:rPr>
          <w:rFonts w:eastAsia="SimSun"/>
          <w:u w:val="single"/>
          <w:lang w:eastAsia="ar-SA"/>
        </w:rPr>
        <w:lastRenderedPageBreak/>
        <w:tab/>
      </w:r>
      <w:r w:rsidRPr="007D0D91">
        <w:rPr>
          <w:rFonts w:eastAsia="SimSun"/>
          <w:u w:val="single"/>
          <w:lang w:eastAsia="ar-SA"/>
        </w:rPr>
        <w:tab/>
      </w:r>
      <w:r w:rsidRPr="007D0D91">
        <w:rPr>
          <w:rFonts w:eastAsia="SimSun"/>
          <w:u w:val="single"/>
          <w:lang w:eastAsia="ar-SA"/>
        </w:rPr>
        <w:tab/>
      </w:r>
    </w:p>
    <w:sectPr w:rsidR="002F006E" w:rsidRPr="007D0D91" w:rsidSect="00F225C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E0" w:rsidRDefault="003F73E0"/>
  </w:endnote>
  <w:endnote w:type="continuationSeparator" w:id="0">
    <w:p w:rsidR="003F73E0" w:rsidRDefault="003F73E0"/>
  </w:endnote>
  <w:endnote w:type="continuationNotice" w:id="1">
    <w:p w:rsidR="003F73E0" w:rsidRDefault="003F73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675158" w:rsidP="00EE2A77">
    <w:pPr>
      <w:pStyle w:val="Footer"/>
      <w:tabs>
        <w:tab w:val="right" w:pos="9638"/>
      </w:tabs>
    </w:pPr>
    <w:r w:rsidRPr="00EE2A77">
      <w:rPr>
        <w:b/>
        <w:sz w:val="18"/>
      </w:rPr>
      <w:fldChar w:fldCharType="begin"/>
    </w:r>
    <w:r w:rsidR="00C42278" w:rsidRPr="00EE2A77">
      <w:rPr>
        <w:b/>
        <w:sz w:val="18"/>
      </w:rPr>
      <w:instrText xml:space="preserve"> PAGE  \* MERGEFORMAT </w:instrText>
    </w:r>
    <w:r w:rsidRPr="00EE2A77">
      <w:rPr>
        <w:b/>
        <w:sz w:val="18"/>
      </w:rPr>
      <w:fldChar w:fldCharType="separate"/>
    </w:r>
    <w:r w:rsidR="00917D37">
      <w:rPr>
        <w:b/>
        <w:noProof/>
        <w:sz w:val="18"/>
      </w:rPr>
      <w:t>2</w:t>
    </w:r>
    <w:r w:rsidRPr="00EE2A77">
      <w:rPr>
        <w:b/>
        <w:sz w:val="18"/>
      </w:rPr>
      <w:fldChar w:fldCharType="end"/>
    </w:r>
    <w:r w:rsidR="00C42278">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rsidP="00EE2A77">
    <w:pPr>
      <w:pStyle w:val="Footer"/>
      <w:tabs>
        <w:tab w:val="right" w:pos="9638"/>
      </w:tabs>
      <w:rPr>
        <w:b/>
        <w:sz w:val="18"/>
      </w:rPr>
    </w:pPr>
    <w:r>
      <w:tab/>
    </w:r>
    <w:r w:rsidR="00675158" w:rsidRPr="00EE2A77">
      <w:rPr>
        <w:b/>
        <w:sz w:val="18"/>
      </w:rPr>
      <w:fldChar w:fldCharType="begin"/>
    </w:r>
    <w:r w:rsidRPr="00EE2A77">
      <w:rPr>
        <w:b/>
        <w:sz w:val="18"/>
      </w:rPr>
      <w:instrText xml:space="preserve"> PAGE  \* MERGEFORMAT </w:instrText>
    </w:r>
    <w:r w:rsidR="00675158" w:rsidRPr="00EE2A77">
      <w:rPr>
        <w:b/>
        <w:sz w:val="18"/>
      </w:rPr>
      <w:fldChar w:fldCharType="separate"/>
    </w:r>
    <w:r w:rsidR="00917D37">
      <w:rPr>
        <w:b/>
        <w:noProof/>
        <w:sz w:val="18"/>
      </w:rPr>
      <w:t>3</w:t>
    </w:r>
    <w:r w:rsidR="00675158"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61" w:rsidRDefault="00940161" w:rsidP="0094016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267335"/>
                  </a:xfrm>
                  <a:prstGeom prst="rect">
                    <a:avLst/>
                  </a:prstGeom>
                </pic:spPr>
              </pic:pic>
            </a:graphicData>
          </a:graphic>
        </wp:anchor>
      </w:drawing>
    </w:r>
  </w:p>
  <w:p w:rsidR="00940161" w:rsidRDefault="00940161" w:rsidP="00940161">
    <w:pPr>
      <w:pStyle w:val="Footer"/>
      <w:ind w:right="1134"/>
      <w:rPr>
        <w:sz w:val="20"/>
      </w:rPr>
    </w:pPr>
    <w:r>
      <w:rPr>
        <w:sz w:val="20"/>
      </w:rPr>
      <w:t>GE.16-10722(E)</w:t>
    </w:r>
  </w:p>
  <w:p w:rsidR="00940161" w:rsidRPr="00940161" w:rsidRDefault="00940161" w:rsidP="009401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amp;Size=2 &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E0" w:rsidRPr="000B175B" w:rsidRDefault="003F73E0" w:rsidP="000B175B">
      <w:pPr>
        <w:tabs>
          <w:tab w:val="right" w:pos="2155"/>
        </w:tabs>
        <w:spacing w:after="80"/>
        <w:ind w:left="680"/>
        <w:rPr>
          <w:u w:val="single"/>
        </w:rPr>
      </w:pPr>
      <w:r>
        <w:rPr>
          <w:u w:val="single"/>
        </w:rPr>
        <w:tab/>
      </w:r>
    </w:p>
  </w:footnote>
  <w:footnote w:type="continuationSeparator" w:id="0">
    <w:p w:rsidR="003F73E0" w:rsidRPr="00FC68B7" w:rsidRDefault="003F73E0" w:rsidP="00FC68B7">
      <w:pPr>
        <w:tabs>
          <w:tab w:val="left" w:pos="2155"/>
        </w:tabs>
        <w:spacing w:after="80"/>
        <w:ind w:left="680"/>
        <w:rPr>
          <w:u w:val="single"/>
        </w:rPr>
      </w:pPr>
      <w:r>
        <w:rPr>
          <w:u w:val="single"/>
        </w:rPr>
        <w:tab/>
      </w:r>
    </w:p>
  </w:footnote>
  <w:footnote w:type="continuationNotice" w:id="1">
    <w:p w:rsidR="003F73E0" w:rsidRDefault="003F73E0"/>
  </w:footnote>
  <w:footnote w:id="2">
    <w:p w:rsidR="00515DA9" w:rsidRPr="00801509" w:rsidRDefault="00515DA9">
      <w:pPr>
        <w:pStyle w:val="FootnoteText"/>
        <w:rPr>
          <w:szCs w:val="18"/>
        </w:rPr>
      </w:pPr>
      <w:r>
        <w:rPr>
          <w:rStyle w:val="FootnoteReference"/>
        </w:rPr>
        <w:tab/>
      </w:r>
      <w:r w:rsidRPr="00801509">
        <w:rPr>
          <w:rStyle w:val="FootnoteReference"/>
          <w:szCs w:val="18"/>
          <w:vertAlign w:val="baseline"/>
        </w:rPr>
        <w:t>*</w:t>
      </w:r>
      <w:r w:rsidRPr="00801509">
        <w:rPr>
          <w:rStyle w:val="FootnoteReference"/>
          <w:szCs w:val="18"/>
          <w:vertAlign w:val="baseline"/>
        </w:rPr>
        <w:tab/>
      </w:r>
      <w:r w:rsidR="003C1687" w:rsidRPr="00714B00">
        <w:rPr>
          <w:szCs w:val="18"/>
        </w:rPr>
        <w:t xml:space="preserve">State not a member </w:t>
      </w:r>
      <w:r w:rsidRPr="00714B00">
        <w:rPr>
          <w:szCs w:val="18"/>
        </w:rPr>
        <w:t>of the Human Rights Council.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C42278">
    <w:pPr>
      <w:pStyle w:val="Header"/>
    </w:pPr>
    <w:r>
      <w:t>A/HRC/</w:t>
    </w:r>
    <w:r w:rsidR="00402A2C">
      <w:t>3</w:t>
    </w:r>
    <w:r w:rsidR="00515DA9">
      <w:t>2</w:t>
    </w:r>
    <w:r w:rsidR="00E10083">
      <w:t>/L.</w:t>
    </w:r>
    <w:r w:rsidR="00515DA9">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78" w:rsidRPr="00EE2A77" w:rsidRDefault="005A69B3" w:rsidP="00EE2A77">
    <w:pPr>
      <w:pStyle w:val="Header"/>
      <w:jc w:val="right"/>
    </w:pPr>
    <w:r>
      <w:t>A/HRC/</w:t>
    </w:r>
    <w:r w:rsidR="00402A2C">
      <w:t>3</w:t>
    </w:r>
    <w:r w:rsidR="003C1687">
      <w:t>2</w:t>
    </w:r>
    <w:r w:rsidR="00E10083">
      <w:t>/L.</w:t>
    </w:r>
    <w:r w:rsidR="00154B0E">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6"/>
  </w:hdrShapeDefaults>
  <w:footnotePr>
    <w:footnote w:id="-1"/>
    <w:footnote w:id="0"/>
    <w:footnote w:id="1"/>
  </w:footnotePr>
  <w:endnotePr>
    <w:numFmt w:val="decimal"/>
    <w:endnote w:id="-1"/>
    <w:endnote w:id="0"/>
    <w:endnote w:id="1"/>
  </w:endnotePr>
  <w:compat/>
  <w:rsids>
    <w:rsidRoot w:val="00EE2A77"/>
    <w:rsid w:val="00001D37"/>
    <w:rsid w:val="00007F7F"/>
    <w:rsid w:val="00022DB5"/>
    <w:rsid w:val="00032232"/>
    <w:rsid w:val="00032651"/>
    <w:rsid w:val="000403D1"/>
    <w:rsid w:val="00042566"/>
    <w:rsid w:val="0004407D"/>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3112F"/>
    <w:rsid w:val="00146D32"/>
    <w:rsid w:val="001509BA"/>
    <w:rsid w:val="00153FA2"/>
    <w:rsid w:val="00154B0E"/>
    <w:rsid w:val="00190DA0"/>
    <w:rsid w:val="00195879"/>
    <w:rsid w:val="001B4B04"/>
    <w:rsid w:val="001C0568"/>
    <w:rsid w:val="001C6663"/>
    <w:rsid w:val="001C7895"/>
    <w:rsid w:val="001D26DF"/>
    <w:rsid w:val="001E2790"/>
    <w:rsid w:val="00211E0B"/>
    <w:rsid w:val="00211E72"/>
    <w:rsid w:val="00214047"/>
    <w:rsid w:val="0022130F"/>
    <w:rsid w:val="00227EC5"/>
    <w:rsid w:val="00237785"/>
    <w:rsid w:val="002410DD"/>
    <w:rsid w:val="00241466"/>
    <w:rsid w:val="00253D58"/>
    <w:rsid w:val="0027725F"/>
    <w:rsid w:val="0028185A"/>
    <w:rsid w:val="00283320"/>
    <w:rsid w:val="002C21F0"/>
    <w:rsid w:val="002D4176"/>
    <w:rsid w:val="002E7C76"/>
    <w:rsid w:val="002F006E"/>
    <w:rsid w:val="003107FA"/>
    <w:rsid w:val="003113C0"/>
    <w:rsid w:val="003229D8"/>
    <w:rsid w:val="003314D1"/>
    <w:rsid w:val="00335A2F"/>
    <w:rsid w:val="00341937"/>
    <w:rsid w:val="0036088C"/>
    <w:rsid w:val="00364A1C"/>
    <w:rsid w:val="00390052"/>
    <w:rsid w:val="0039277A"/>
    <w:rsid w:val="003972E0"/>
    <w:rsid w:val="003975ED"/>
    <w:rsid w:val="003C1687"/>
    <w:rsid w:val="003C2CC4"/>
    <w:rsid w:val="003D206B"/>
    <w:rsid w:val="003D2765"/>
    <w:rsid w:val="003D4B23"/>
    <w:rsid w:val="003E7D53"/>
    <w:rsid w:val="003F73E0"/>
    <w:rsid w:val="00402A2C"/>
    <w:rsid w:val="00424C80"/>
    <w:rsid w:val="00427510"/>
    <w:rsid w:val="004325CB"/>
    <w:rsid w:val="004413C2"/>
    <w:rsid w:val="00443464"/>
    <w:rsid w:val="0044503A"/>
    <w:rsid w:val="004453BF"/>
    <w:rsid w:val="00446DE4"/>
    <w:rsid w:val="00447761"/>
    <w:rsid w:val="00451EC3"/>
    <w:rsid w:val="00456DD6"/>
    <w:rsid w:val="00467024"/>
    <w:rsid w:val="004721B1"/>
    <w:rsid w:val="00472982"/>
    <w:rsid w:val="004859EC"/>
    <w:rsid w:val="00487B50"/>
    <w:rsid w:val="004939B3"/>
    <w:rsid w:val="00493D3E"/>
    <w:rsid w:val="00496A15"/>
    <w:rsid w:val="004A6D3A"/>
    <w:rsid w:val="004B75D2"/>
    <w:rsid w:val="004C0361"/>
    <w:rsid w:val="004C357E"/>
    <w:rsid w:val="004D0109"/>
    <w:rsid w:val="004D1140"/>
    <w:rsid w:val="004F55ED"/>
    <w:rsid w:val="00515DA9"/>
    <w:rsid w:val="0052176C"/>
    <w:rsid w:val="005261E5"/>
    <w:rsid w:val="005420F2"/>
    <w:rsid w:val="00542574"/>
    <w:rsid w:val="00542EBF"/>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541AC"/>
    <w:rsid w:val="00656B2C"/>
    <w:rsid w:val="006601B6"/>
    <w:rsid w:val="00670741"/>
    <w:rsid w:val="00674C17"/>
    <w:rsid w:val="00675158"/>
    <w:rsid w:val="00685DB2"/>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2D6F"/>
    <w:rsid w:val="006F5035"/>
    <w:rsid w:val="0070635F"/>
    <w:rsid w:val="007065EB"/>
    <w:rsid w:val="00714B00"/>
    <w:rsid w:val="0071701A"/>
    <w:rsid w:val="00720183"/>
    <w:rsid w:val="0072632A"/>
    <w:rsid w:val="0074200B"/>
    <w:rsid w:val="007A6296"/>
    <w:rsid w:val="007B208E"/>
    <w:rsid w:val="007B5706"/>
    <w:rsid w:val="007B6BA5"/>
    <w:rsid w:val="007B7C6F"/>
    <w:rsid w:val="007C1B62"/>
    <w:rsid w:val="007C3390"/>
    <w:rsid w:val="007C4F4B"/>
    <w:rsid w:val="007C5E9C"/>
    <w:rsid w:val="007D0D91"/>
    <w:rsid w:val="007D2CDC"/>
    <w:rsid w:val="007D5327"/>
    <w:rsid w:val="007E15F4"/>
    <w:rsid w:val="007F6611"/>
    <w:rsid w:val="00801509"/>
    <w:rsid w:val="008155C3"/>
    <w:rsid w:val="008175E9"/>
    <w:rsid w:val="0082243E"/>
    <w:rsid w:val="00822A38"/>
    <w:rsid w:val="008242D7"/>
    <w:rsid w:val="008402E9"/>
    <w:rsid w:val="008534BD"/>
    <w:rsid w:val="00856CD2"/>
    <w:rsid w:val="00857BD4"/>
    <w:rsid w:val="00861BC6"/>
    <w:rsid w:val="00871FD5"/>
    <w:rsid w:val="00875AB7"/>
    <w:rsid w:val="008979B1"/>
    <w:rsid w:val="008A6B25"/>
    <w:rsid w:val="008A6C4F"/>
    <w:rsid w:val="008C1E4D"/>
    <w:rsid w:val="008E0E46"/>
    <w:rsid w:val="0090452C"/>
    <w:rsid w:val="00907C3F"/>
    <w:rsid w:val="00917D37"/>
    <w:rsid w:val="0092237C"/>
    <w:rsid w:val="0093707B"/>
    <w:rsid w:val="009400EB"/>
    <w:rsid w:val="00940161"/>
    <w:rsid w:val="009427E3"/>
    <w:rsid w:val="00944104"/>
    <w:rsid w:val="009475A0"/>
    <w:rsid w:val="00951324"/>
    <w:rsid w:val="00956D9B"/>
    <w:rsid w:val="00963CBA"/>
    <w:rsid w:val="009654B7"/>
    <w:rsid w:val="00972353"/>
    <w:rsid w:val="0097325F"/>
    <w:rsid w:val="00976B90"/>
    <w:rsid w:val="00983EF7"/>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5613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11A9D"/>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D4BFD"/>
    <w:rsid w:val="00BE00DE"/>
    <w:rsid w:val="00BE618E"/>
    <w:rsid w:val="00BF57ED"/>
    <w:rsid w:val="00C24693"/>
    <w:rsid w:val="00C359A4"/>
    <w:rsid w:val="00C35F0B"/>
    <w:rsid w:val="00C42278"/>
    <w:rsid w:val="00C463DD"/>
    <w:rsid w:val="00C50B24"/>
    <w:rsid w:val="00C62C58"/>
    <w:rsid w:val="00C64458"/>
    <w:rsid w:val="00C745C3"/>
    <w:rsid w:val="00C86EEF"/>
    <w:rsid w:val="00CA2A58"/>
    <w:rsid w:val="00CC0B55"/>
    <w:rsid w:val="00CC1ED7"/>
    <w:rsid w:val="00CC49C0"/>
    <w:rsid w:val="00CD1E06"/>
    <w:rsid w:val="00CD6995"/>
    <w:rsid w:val="00CE4A8F"/>
    <w:rsid w:val="00CE5514"/>
    <w:rsid w:val="00CE7C72"/>
    <w:rsid w:val="00CF0214"/>
    <w:rsid w:val="00CF0545"/>
    <w:rsid w:val="00CF2947"/>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5CDA"/>
    <w:rsid w:val="00DE3EC0"/>
    <w:rsid w:val="00DF614B"/>
    <w:rsid w:val="00E005A2"/>
    <w:rsid w:val="00E051D8"/>
    <w:rsid w:val="00E10083"/>
    <w:rsid w:val="00E11593"/>
    <w:rsid w:val="00E12B6B"/>
    <w:rsid w:val="00E130AB"/>
    <w:rsid w:val="00E23BBC"/>
    <w:rsid w:val="00E407B0"/>
    <w:rsid w:val="00E438D9"/>
    <w:rsid w:val="00E5536D"/>
    <w:rsid w:val="00E5644E"/>
    <w:rsid w:val="00E61A6C"/>
    <w:rsid w:val="00E7260F"/>
    <w:rsid w:val="00E806EE"/>
    <w:rsid w:val="00E81099"/>
    <w:rsid w:val="00E9471B"/>
    <w:rsid w:val="00E96630"/>
    <w:rsid w:val="00EA5EC1"/>
    <w:rsid w:val="00EB0C95"/>
    <w:rsid w:val="00EB0FB9"/>
    <w:rsid w:val="00EC250E"/>
    <w:rsid w:val="00ED0CA9"/>
    <w:rsid w:val="00ED7A2A"/>
    <w:rsid w:val="00EE2A77"/>
    <w:rsid w:val="00EE36FF"/>
    <w:rsid w:val="00EF1D7F"/>
    <w:rsid w:val="00EF5BDB"/>
    <w:rsid w:val="00EF66FE"/>
    <w:rsid w:val="00F07FD9"/>
    <w:rsid w:val="00F14AC7"/>
    <w:rsid w:val="00F15AA7"/>
    <w:rsid w:val="00F225CB"/>
    <w:rsid w:val="00F23933"/>
    <w:rsid w:val="00F24119"/>
    <w:rsid w:val="00F3483E"/>
    <w:rsid w:val="00F40E75"/>
    <w:rsid w:val="00F42CD9"/>
    <w:rsid w:val="00F4793B"/>
    <w:rsid w:val="00F52936"/>
    <w:rsid w:val="00F61574"/>
    <w:rsid w:val="00F674F3"/>
    <w:rsid w:val="00F677CB"/>
    <w:rsid w:val="00F96A1E"/>
    <w:rsid w:val="00FA7DF3"/>
    <w:rsid w:val="00FC48F4"/>
    <w:rsid w:val="00FC68B7"/>
    <w:rsid w:val="00FD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r="http://schemas.openxmlformats.org/officeDocument/2006/relationships" xmlns:w="http://schemas.openxmlformats.org/wordprocessingml/2006/main">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1610722</dc:title>
  <dc:subject>A/HRC/32/L.2</dc:subject>
  <dc:creator>Kiatsurayanon</dc:creator>
  <cp:lastModifiedBy>Lynn</cp:lastModifiedBy>
  <cp:revision>2</cp:revision>
  <cp:lastPrinted>2016-06-20T12:11:00Z</cp:lastPrinted>
  <dcterms:created xsi:type="dcterms:W3CDTF">2016-06-28T06:18:00Z</dcterms:created>
  <dcterms:modified xsi:type="dcterms:W3CDTF">2016-06-28T06:18:00Z</dcterms:modified>
</cp:coreProperties>
</file>